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360"/>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Получен номер на обявлението</w:t>
      </w:r>
    </w:p>
    <w:p>
      <w:pPr>
        <w:pStyle w:val="Style8"/>
        <w:keepNext/>
        <w:keepLines/>
        <w:widowControl w:val="0"/>
        <w:shd w:val="clear" w:color="auto" w:fill="auto"/>
        <w:bidi w:val="0"/>
        <w:spacing w:before="0" w:after="360"/>
        <w:ind w:left="0" w:right="0" w:firstLine="0"/>
        <w:jc w:val="left"/>
      </w:pPr>
      <w:bookmarkStart w:id="2" w:name="bookmark2"/>
      <w:bookmarkStart w:id="3" w:name="bookmark3"/>
      <w:r>
        <w:rPr>
          <w:color w:val="000000"/>
          <w:spacing w:val="0"/>
          <w:w w:val="100"/>
          <w:position w:val="0"/>
          <w:sz w:val="24"/>
          <w:szCs w:val="24"/>
          <w:shd w:val="clear" w:color="auto" w:fill="auto"/>
          <w:lang w:val="bg-BG" w:eastAsia="bg-BG" w:bidi="bg-BG"/>
        </w:rPr>
        <w:t xml:space="preserve">Номер на обявлението в ОВ </w:t>
      </w:r>
      <w:r>
        <w:rPr>
          <w:color w:val="000000"/>
          <w:spacing w:val="0"/>
          <w:w w:val="100"/>
          <w:position w:val="0"/>
          <w:sz w:val="24"/>
          <w:szCs w:val="24"/>
          <w:shd w:val="clear" w:color="auto" w:fill="auto"/>
          <w:lang w:val="en-GB" w:eastAsia="en-GB" w:bidi="en-GB"/>
        </w:rPr>
        <w:t>S:</w:t>
      </w:r>
      <w:bookmarkEnd w:id="2"/>
      <w:bookmarkEnd w:id="3"/>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en-GB" w:eastAsia="en-GB" w:bidi="en-GB"/>
        </w:rPr>
        <w:t>OJS URL</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Публикация в РОП</w:t>
      </w:r>
    </w:p>
    <w:p>
      <w:pPr>
        <w:pStyle w:val="Style11"/>
        <w:keepNext w:val="0"/>
        <w:keepLines w:val="0"/>
        <w:widowControl w:val="0"/>
        <w:shd w:val="clear" w:color="auto" w:fill="auto"/>
        <w:bidi w:val="0"/>
        <w:spacing w:before="0" w:after="336"/>
        <w:ind w:left="0" w:right="0" w:firstLine="0"/>
        <w:jc w:val="left"/>
      </w:pPr>
      <w:r>
        <w:rPr>
          <w:color w:val="000000"/>
          <w:spacing w:val="0"/>
          <w:w w:val="100"/>
          <w:position w:val="0"/>
          <w:sz w:val="24"/>
          <w:szCs w:val="24"/>
          <w:shd w:val="clear" w:color="auto" w:fill="auto"/>
          <w:lang w:val="bg-BG" w:eastAsia="bg-BG" w:bidi="bg-BG"/>
        </w:rPr>
        <w:t>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left"/>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left"/>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left"/>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 xml:space="preserve">Вид процедура </w:t>
      </w:r>
      <w:r>
        <w:rPr>
          <w:color w:val="000000"/>
          <w:spacing w:val="0"/>
          <w:w w:val="100"/>
          <w:position w:val="0"/>
          <w:sz w:val="24"/>
          <w:szCs w:val="24"/>
          <w:shd w:val="clear" w:color="auto" w:fill="auto"/>
          <w:lang w:val="bg-BG" w:eastAsia="bg-BG" w:bidi="bg-BG"/>
        </w:rPr>
        <w:t xml:space="preserve">Открита процедура </w:t>
      </w:r>
      <w:r>
        <w:rPr>
          <w:b/>
          <w:bCs/>
          <w:color w:val="000000"/>
          <w:spacing w:val="0"/>
          <w:w w:val="100"/>
          <w:position w:val="0"/>
          <w:sz w:val="24"/>
          <w:szCs w:val="24"/>
          <w:shd w:val="clear" w:color="auto" w:fill="auto"/>
          <w:lang w:val="bg-BG" w:eastAsia="bg-BG" w:bidi="bg-BG"/>
        </w:rPr>
        <w:t>Наименование: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Доставка на мобилна станция със специализирана система за измерване на мобилни наземни мрежи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540"/>
        <w:ind w:left="0" w:right="0" w:firstLine="0"/>
        <w:jc w:val="left"/>
      </w:pPr>
      <w:r>
        <w:rPr>
          <w:color w:val="000000"/>
          <w:spacing w:val="0"/>
          <w:w w:val="100"/>
          <w:position w:val="0"/>
          <w:sz w:val="24"/>
          <w:szCs w:val="24"/>
          <w:shd w:val="clear" w:color="auto" w:fill="auto"/>
          <w:lang w:val="bg-BG" w:eastAsia="bg-BG" w:bidi="bg-BG"/>
        </w:rPr>
        <w:t xml:space="preserve">Обхватът на настоящата процедура е: „Доставка на мобилна станция със специализирана система за измерване на мобилни наземни мрежи“. Целта на настоящата процедура е да се реализира съвременно решение в съответствие с приложената техническа спецификация, с което: - ще се осигури ефикасен и ефективен контрол от КРС по отношение на осъществяваните електронни съобщения чрез мобилните наземни мрежи на територията на страната; - ще се разширят възможностите на КРС за измерване и контрол на покритието и качеството на предоставяните от предприятията услуги на територията на страната в съответствие с издадените разрешения и развитието на съвременните технологии. </w:t>
      </w: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left"/>
      </w:pPr>
      <w:bookmarkStart w:id="4" w:name="bookmark4"/>
      <w:bookmarkStart w:id="5" w:name="bookmark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4"/>
      <w:bookmarkEnd w:id="5"/>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20" w:line="32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8"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9"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5"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2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en-GB" w:eastAsia="en-GB" w:bidi="en-GB"/>
        </w:rPr>
        <w:t xml:space="preserve">• </w:t>
      </w: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2"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pBdr>
          <w:top w:val="single" w:sz="4" w:space="0" w:color="auto"/>
        </w:pBdr>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8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20"/>
        <w:ind w:left="0" w:right="0" w:firstLine="0"/>
        <w:jc w:val="left"/>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60" w:line="331" w:lineRule="auto"/>
        <w:ind w:left="0" w:right="0" w:firstLine="0"/>
        <w:jc w:val="left"/>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ind w:left="0" w:right="0" w:firstLine="0"/>
        <w:jc w:val="left"/>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0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581"/>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8"/>
        <w:keepNext/>
        <w:keepLines/>
        <w:widowControl w:val="0"/>
        <w:pBdr>
          <w:top w:val="single" w:sz="0" w:space="1" w:color="0466A3"/>
          <w:left w:val="single" w:sz="0" w:space="0" w:color="0466A3"/>
          <w:bottom w:val="single" w:sz="0" w:space="3" w:color="0466A3"/>
          <w:right w:val="single" w:sz="0" w:space="0" w:color="0466A3"/>
        </w:pBdr>
        <w:shd w:val="clear" w:color="auto" w:fill="0466A3"/>
        <w:bidi w:val="0"/>
        <w:spacing w:before="0" w:after="162" w:line="334" w:lineRule="auto"/>
        <w:ind w:left="0" w:right="0" w:firstLine="0"/>
        <w:jc w:val="left"/>
      </w:pPr>
      <w:bookmarkStart w:id="6" w:name="bookmark6"/>
      <w:bookmarkStart w:id="7" w:name="bookmark7"/>
      <w:r>
        <w:rPr>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bookmarkEnd w:id="6"/>
      <w:bookmarkEnd w:id="7"/>
    </w:p>
    <w:p>
      <w:pPr>
        <w:pStyle w:val="Style11"/>
        <w:keepNext w:val="0"/>
        <w:keepLines w:val="0"/>
        <w:widowControl w:val="0"/>
        <w:shd w:val="clear" w:color="auto" w:fill="auto"/>
        <w:bidi w:val="0"/>
        <w:spacing w:before="0" w:after="34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8"/>
        <w:keepNext/>
        <w:keepLines/>
        <w:widowControl w:val="0"/>
        <w:shd w:val="clear" w:color="auto" w:fill="auto"/>
        <w:bidi w:val="0"/>
        <w:spacing w:before="0" w:after="0"/>
        <w:ind w:left="0" w:right="0" w:firstLine="0"/>
        <w:jc w:val="left"/>
      </w:pPr>
      <w:bookmarkStart w:id="8" w:name="bookmark8"/>
      <w:bookmarkStart w:id="9" w:name="bookmark9"/>
      <w:r>
        <w:rPr>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bookmarkEnd w:id="8"/>
      <w:bookmarkEnd w:id="9"/>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600"/>
        <w:ind w:left="0" w:right="0" w:firstLine="0"/>
        <w:jc w:val="left"/>
      </w:pPr>
      <w:r>
        <w:rPr>
          <w:b/>
          <w:bCs/>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10" w:name="bookmark10"/>
      <w:bookmarkStart w:id="11" w:name="bookmark11"/>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10"/>
      <w:bookmarkEnd w:id="11"/>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12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2" w:name="bookmark12"/>
      <w:bookmarkStart w:id="13" w:name="bookmark13"/>
      <w:r>
        <w:rPr>
          <w:color w:val="000000"/>
          <w:spacing w:val="0"/>
          <w:w w:val="100"/>
          <w:position w:val="0"/>
          <w:sz w:val="24"/>
          <w:szCs w:val="24"/>
          <w:shd w:val="clear" w:color="auto" w:fill="auto"/>
          <w:lang w:val="bg-BG" w:eastAsia="bg-BG" w:bidi="bg-BG"/>
        </w:rPr>
        <w:t>Корупция</w:t>
      </w:r>
      <w:bookmarkEnd w:id="12"/>
      <w:bookmarkEnd w:id="13"/>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41" w:lineRule="auto"/>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Измама</w:t>
      </w:r>
      <w:bookmarkEnd w:id="14"/>
      <w:bookmarkEnd w:id="15"/>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6"/>
      <w:bookmarkEnd w:id="17"/>
    </w:p>
    <w:p>
      <w:pPr>
        <w:pStyle w:val="Style11"/>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80" w:line="240"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460" w:line="240"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18"/>
      <w:bookmarkEnd w:id="19"/>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50"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8"/>
        <w:keepNext/>
        <w:keepLines/>
        <w:widowControl w:val="0"/>
        <w:shd w:val="clear" w:color="auto" w:fill="auto"/>
        <w:bidi w:val="0"/>
        <w:spacing w:before="0" w:after="460" w:line="240"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Издаден(о) от</w:t>
      </w:r>
      <w:bookmarkEnd w:id="20"/>
      <w:bookmarkEnd w:id="21"/>
    </w:p>
    <w:p>
      <w:pPr>
        <w:pStyle w:val="Style11"/>
        <w:keepNext w:val="0"/>
        <w:keepLines w:val="0"/>
        <w:widowControl w:val="0"/>
        <w:shd w:val="clear" w:color="auto" w:fill="auto"/>
        <w:bidi w:val="0"/>
        <w:spacing w:before="0" w:after="60"/>
        <w:ind w:left="0" w:right="0" w:firstLine="0"/>
        <w:jc w:val="left"/>
      </w:pPr>
      <w:r>
        <w:rPr>
          <w:b/>
          <w:bCs/>
          <w:color w:val="000000"/>
          <w:spacing w:val="0"/>
          <w:w w:val="100"/>
          <w:position w:val="0"/>
          <w:sz w:val="24"/>
          <w:szCs w:val="24"/>
          <w:shd w:val="clear" w:color="auto" w:fill="auto"/>
          <w:lang w:val="bg-BG" w:eastAsia="bg-BG" w:bidi="bg-BG"/>
        </w:rPr>
        <w:t xml:space="preserve">Детски труд и други форми на трафик на хора </w:t>
      </w: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Плащане на данъци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извършил ли е нарушение, свързано със задълженията му за плащане на данъци, както в страната, в която </w:t>
      </w:r>
      <w:r>
        <w:rPr>
          <w:color w:val="000000"/>
          <w:spacing w:val="0"/>
          <w:w w:val="100"/>
          <w:position w:val="0"/>
          <w:sz w:val="24"/>
          <w:szCs w:val="24"/>
          <w:shd w:val="clear" w:color="auto" w:fill="auto"/>
          <w:lang w:val="bg-BG" w:eastAsia="bg-BG" w:bidi="bg-BG"/>
        </w:rPr>
        <w:t>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Размер на съответната сума</w:t>
      </w:r>
      <w:bookmarkEnd w:id="22"/>
      <w:bookmarkEnd w:id="23"/>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4" w:name="bookmark24"/>
      <w:bookmarkStart w:id="25" w:name="bookmark25"/>
      <w:r>
        <w:rPr>
          <w:color w:val="000000"/>
          <w:spacing w:val="0"/>
          <w:w w:val="100"/>
          <w:position w:val="0"/>
          <w:sz w:val="24"/>
          <w:szCs w:val="24"/>
          <w:shd w:val="clear" w:color="auto" w:fill="auto"/>
          <w:lang w:val="bg-BG" w:eastAsia="bg-BG" w:bidi="bg-BG"/>
        </w:rPr>
        <w:t>Опишете използваните средства.</w:t>
      </w:r>
      <w:bookmarkEnd w:id="24"/>
      <w:bookmarkEnd w:id="25"/>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34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Плащане на социалноосигурителни вноски</w:t>
      </w:r>
      <w:bookmarkEnd w:id="26"/>
      <w:bookmarkEnd w:id="27"/>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Размер на съответната сума</w:t>
      </w:r>
      <w:bookmarkEnd w:id="28"/>
      <w:bookmarkEnd w:id="29"/>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Опишете използваните средства.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3"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Несъстоятелност</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8"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after="6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34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6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30"/>
      <w:bookmarkEnd w:id="31"/>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Тежко професионално нарушение</w:t>
      </w:r>
      <w:bookmarkEnd w:id="32"/>
      <w:bookmarkEnd w:id="33"/>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4"/>
      <w:bookmarkEnd w:id="35"/>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има ли информация за конфликт на интереси съгласно посоченото в националното законодателство, в обявлението или 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36"/>
      <w:bookmarkEnd w:id="37"/>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38"/>
      <w:bookmarkEnd w:id="39"/>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40" w:val="left"/>
        </w:tabs>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 w:line="240" w:lineRule="auto"/>
        <w:ind w:left="0" w:right="0" w:firstLine="0"/>
        <w:jc w:val="left"/>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Други основания за изключване, които може да бъдат предвидени в националното законодателство на държавата членка на възлагащия орган 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bg-BG" w:eastAsia="bg-BG" w:bidi="bg-BG"/>
        </w:rPr>
        <w:t>О Не</w:t>
      </w:r>
    </w:p>
    <w:p>
      <w:pPr>
        <w:pStyle w:val="Style8"/>
        <w:keepNext/>
        <w:keepLines/>
        <w:widowControl w:val="0"/>
        <w:shd w:val="clear" w:color="auto" w:fill="auto"/>
        <w:bidi w:val="0"/>
        <w:spacing w:before="0" w:after="800" w:line="240" w:lineRule="auto"/>
        <w:ind w:left="0" w:right="0" w:firstLine="0"/>
        <w:jc w:val="left"/>
      </w:pPr>
      <w:bookmarkStart w:id="40" w:name="bookmark40"/>
      <w:bookmarkStart w:id="41" w:name="bookmark41"/>
      <w:r>
        <w:rPr>
          <w:color w:val="000000"/>
          <w:spacing w:val="0"/>
          <w:w w:val="100"/>
          <w:position w:val="0"/>
          <w:sz w:val="24"/>
          <w:szCs w:val="24"/>
          <w:shd w:val="clear" w:color="auto" w:fill="auto"/>
          <w:lang w:val="bg-BG" w:eastAsia="bg-BG" w:bidi="bg-BG"/>
        </w:rPr>
        <w:t>Моля, опишете подробно</w:t>
      </w:r>
      <w:bookmarkEnd w:id="40"/>
      <w:bookmarkEnd w:id="41"/>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2" w:name="bookmark42"/>
      <w:bookmarkStart w:id="43" w:name="bookmark43"/>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2"/>
      <w:bookmarkEnd w:id="43"/>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Г: Схеми за осигуряване на качеството и стандарти за екологично управление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В член 62, параграф 2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Сертификати от независими органи, удостоверяващи стандарти за осигуряване на качеството</w:t>
      </w:r>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line="331" w:lineRule="auto"/>
        <w:ind w:left="0" w:right="0" w:firstLine="0"/>
        <w:jc w:val="left"/>
      </w:pPr>
      <w:r>
        <w:rPr>
          <w:b/>
          <w:bCs/>
          <w:color w:val="000000"/>
          <w:spacing w:val="0"/>
          <w:w w:val="100"/>
          <w:position w:val="0"/>
          <w:sz w:val="24"/>
          <w:szCs w:val="24"/>
          <w:shd w:val="clear" w:color="auto" w:fill="auto"/>
          <w:lang w:val="bg-BG" w:eastAsia="bg-BG" w:bidi="bg-BG"/>
        </w:rPr>
        <w:t>Ако „не“, обяснете защо и посочете какви други доказателства относно схемата за осигуряване на качеството могат да бъдат представени:</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40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4" w:name="bookmark44"/>
      <w:bookmarkStart w:id="45" w:name="bookmark45"/>
      <w:r>
        <w:rPr>
          <w:color w:val="000000"/>
          <w:spacing w:val="0"/>
          <w:w w:val="100"/>
          <w:position w:val="0"/>
          <w:shd w:val="clear" w:color="auto" w:fill="auto"/>
          <w:lang w:val="bg-BG" w:eastAsia="bg-BG" w:bidi="bg-BG"/>
        </w:rPr>
        <w:t>Край</w:t>
      </w:r>
      <w:bookmarkEnd w:id="44"/>
      <w:bookmarkEnd w:id="45"/>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46" w:name="bookmark46"/>
      <w:bookmarkStart w:id="47" w:name="bookmark47"/>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46"/>
      <w:bookmarkEnd w:id="47"/>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w:t>
      </w:r>
    </w:p>
    <w:p>
      <w:pPr>
        <w:pStyle w:val="Style11"/>
        <w:keepNext w:val="0"/>
        <w:keepLines w:val="0"/>
        <w:widowControl w:val="0"/>
        <w:shd w:val="clear" w:color="auto" w:fill="auto"/>
        <w:tabs>
          <w:tab w:pos="668"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а)</w:t>
        <w:tab/>
        <w:t>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tabs>
          <w:tab w:pos="668"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б)</w:t>
        <w:tab/>
        <w:t xml:space="preserve">считано от 18 октомври 2018 г. най-късно (в зависимост от изпълнението на член 59, параграф 5, втора алинея от Директива 2014/24/ЕС на национално равнище), възлагащият орган или възложителят вече притежава съответната документация. 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420"/>
        <w:ind w:left="0" w:right="0" w:firstLine="0"/>
        <w:jc w:val="left"/>
      </w:pPr>
      <w:r>
        <w:rPr>
          <w:color w:val="000000"/>
          <w:spacing w:val="0"/>
          <w:w w:val="100"/>
          <w:position w:val="0"/>
          <w:sz w:val="24"/>
          <w:szCs w:val="24"/>
          <w:shd w:val="clear" w:color="auto" w:fill="auto"/>
          <w:lang w:val="bg-BG" w:eastAsia="bg-BG" w:bidi="bg-BG"/>
        </w:rPr>
        <w:t xml:space="preserve">Дата, място и — когато се изисква или е необходимо — подпис(и): </w:t>
      </w: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496" w:left="1027" w:right="1138" w:bottom="811" w:header="68"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3775075</wp:posOffset>
              </wp:positionH>
              <wp:positionV relativeFrom="page">
                <wp:posOffset>9615805</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7.25pt;margin-top:757.14999999999998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40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after="40"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